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2020年度河北省“三三三人才工程”人选候选人情况一览表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类别：工程技术                                                                              （共2页）第1页</w:t>
      </w:r>
    </w:p>
    <w:tbl>
      <w:tblPr>
        <w:tblStyle w:val="6"/>
        <w:tblW w:w="15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24"/>
        <w:gridCol w:w="776"/>
        <w:gridCol w:w="936"/>
        <w:gridCol w:w="760"/>
        <w:gridCol w:w="856"/>
        <w:gridCol w:w="873"/>
        <w:gridCol w:w="922"/>
        <w:gridCol w:w="1393"/>
        <w:gridCol w:w="792"/>
        <w:gridCol w:w="695"/>
        <w:gridCol w:w="5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序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号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党政职务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申报层次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技术职称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专家称号及获得时间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最高学历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从事专业</w:t>
            </w:r>
          </w:p>
        </w:tc>
        <w:tc>
          <w:tcPr>
            <w:tcW w:w="5583" w:type="dxa"/>
            <w:vAlign w:val="bottom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业绩贡献情况（应填写产生经济效益的技术、时间、地点、金额等；产生社会效益的相关指标、区域等）、主要研究成果、及担任重点科研项目主持人情况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9" w:hRule="atLeast"/>
        </w:trPr>
        <w:tc>
          <w:tcPr>
            <w:tcW w:w="711" w:type="dxa"/>
            <w:tcBorders>
              <w:bottom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4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李建华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7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女</w:t>
            </w:r>
          </w:p>
        </w:tc>
        <w:tc>
          <w:tcPr>
            <w:tcW w:w="93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198410</w:t>
            </w:r>
          </w:p>
        </w:tc>
        <w:tc>
          <w:tcPr>
            <w:tcW w:w="76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沧州市黄骅港务局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司</w:t>
            </w:r>
          </w:p>
        </w:tc>
        <w:tc>
          <w:tcPr>
            <w:tcW w:w="85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科员</w:t>
            </w:r>
            <w:bookmarkStart w:id="0" w:name="_GoBack"/>
            <w:bookmarkEnd w:id="0"/>
          </w:p>
        </w:tc>
        <w:tc>
          <w:tcPr>
            <w:tcW w:w="87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第三层次</w:t>
            </w:r>
          </w:p>
        </w:tc>
        <w:tc>
          <w:tcPr>
            <w:tcW w:w="92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中级工程师</w:t>
            </w:r>
          </w:p>
        </w:tc>
        <w:tc>
          <w:tcPr>
            <w:tcW w:w="1393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1、河北省发改委评标专家库专家、获得时间2019年04月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2、河北省政府采购评审专家库专家、获得时间2019年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3月</w:t>
            </w:r>
          </w:p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建筑工程专业国家一级建造师、获得时间2014年09月</w:t>
            </w:r>
          </w:p>
          <w:p>
            <w:pPr>
              <w:rPr>
                <w:rFonts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4、国家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  <w:lang w:eastAsia="zh-CN"/>
              </w:rPr>
              <w:t>一级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注册造价师、获得时间2016年10月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9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硕士研究生</w:t>
            </w:r>
          </w:p>
        </w:tc>
        <w:tc>
          <w:tcPr>
            <w:tcW w:w="695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水运工程</w:t>
            </w:r>
          </w:p>
        </w:tc>
        <w:tc>
          <w:tcPr>
            <w:tcW w:w="5583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一、业绩贡献情况：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本人负责我集团所有项目的招标及造价管理等工作，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负责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招标及造价管理的部分项目如下：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月，主持完成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黄骅港液化管廊项目施工招标及控制价审核工作，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投资估算4.1亿元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2017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月，主持完成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黄骅港综合港区海水淡化引水工程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施工招标及控制价审核工作，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投资估算2.32亿元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2016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月，主持完成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黄骅港船舶交通管理系统扩容工程施工招标及控制价审核工作，投资估算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0.46亿元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6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2019年4月，主持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黄骅港综合港区船舶燃料油码头工程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招标及控制价审核工作，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投资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估算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2.66亿元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2016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月，主持完成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大宗散货物流园区及码头PPP项目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社会资本方招标工作，总投资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57.64亿元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二、相关专业领域研究成果：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参与编制的部分项目报告如下：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1、黄骅港船舶交通管理系统扩容（综合港区雷达站）工程可行性研究报告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2、黄骅港综合港区 9#、10#通用泊位工程可行性研究报告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黄骅港综合港区滚装泊位一期工程可行性研究报告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4、黄骅港综合港区1#加油加气站工程可行性研究报告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5、中铁海水淡化引水工程项目简介</w:t>
            </w:r>
          </w:p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三、主持承担课题情况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1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0"/>
                <w:szCs w:val="1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10"/>
                <w:szCs w:val="1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10"/>
                <w:szCs w:val="10"/>
              </w:rPr>
            </w:pP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2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（共2页）第2页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583" w:type="dxa"/>
            <w:tcBorders>
              <w:top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四、发明专利情况：</w:t>
            </w:r>
          </w:p>
          <w:p>
            <w:pPr>
              <w:spacing w:line="260" w:lineRule="exact"/>
              <w:ind w:firstLine="420" w:firstLineChars="200"/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近年来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获得国家专利2项，其中实用新型专利1项，发明专利1项。</w:t>
            </w:r>
          </w:p>
          <w:p>
            <w:pPr>
              <w:spacing w:line="260" w:lineRule="exact"/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1、《一种新型多功能宽体波、流实验水槽》（证书号第10087737号）已被国家知识产权局授予实用新型专利。</w:t>
            </w:r>
          </w:p>
          <w:p>
            <w:pPr>
              <w:spacing w:line="260" w:lineRule="exact"/>
              <w:jc w:val="left"/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2、《一种新型多功能宽体波、流实验水槽》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中国发明专利已通过初审，等待实审提案。</w:t>
            </w:r>
          </w:p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五、专著及发表论文</w:t>
            </w:r>
          </w:p>
          <w:p>
            <w:pPr>
              <w:widowControl/>
              <w:spacing w:line="260" w:lineRule="exact"/>
              <w:jc w:val="left"/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1、硕士毕业论文《基于灰色系统模型的企业信用评级研究》</w:t>
            </w:r>
          </w:p>
          <w:p>
            <w:pPr>
              <w:widowControl/>
              <w:spacing w:line="260" w:lineRule="exact"/>
              <w:jc w:val="left"/>
              <w:rPr>
                <w:rFonts w:asciiTheme="majorEastAsia" w:hAnsiTheme="majorEastAsia" w:eastAsiaTheme="majorEastAsia" w:cstheme="majorEastAsia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2、《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bidi="ar"/>
              </w:rPr>
              <w:t>港口工程施工质量通病的防治管理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》已被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bidi="ar"/>
              </w:rPr>
              <w:t>《建筑技术开发》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 w:bidi="ar"/>
              </w:rPr>
              <w:t>期刊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bidi="ar"/>
              </w:rPr>
              <w:t>录用</w:t>
            </w:r>
          </w:p>
          <w:p>
            <w:pPr>
              <w:widowControl/>
              <w:spacing w:line="260" w:lineRule="exact"/>
              <w:jc w:val="left"/>
              <w:rPr>
                <w:rFonts w:asciiTheme="majorEastAsia" w:hAnsiTheme="majorEastAsia" w:eastAsiaTheme="majorEastAsia" w:cstheme="majorEastAsia"/>
                <w:kern w:val="0"/>
                <w:szCs w:val="21"/>
                <w:highlight w:val="cyan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3、《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bidi="ar"/>
              </w:rPr>
              <w:t>水工建筑混凝土结构施工技术及其应用的探析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》已被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bidi="ar"/>
              </w:rPr>
              <w:t>《建筑技术开发》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 w:bidi="ar"/>
              </w:rPr>
              <w:t>期刊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bidi="ar"/>
              </w:rPr>
              <w:t>录用</w:t>
            </w:r>
          </w:p>
          <w:p>
            <w:pPr>
              <w:widowControl/>
              <w:spacing w:line="260" w:lineRule="exact"/>
              <w:jc w:val="left"/>
              <w:rPr>
                <w:rFonts w:asciiTheme="majorEastAsia" w:hAnsiTheme="majorEastAsia" w:eastAsiaTheme="majorEastAsia" w:cstheme="majorEastAsia"/>
                <w:szCs w:val="21"/>
                <w:highlight w:val="cya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bidi="ar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《交通工程软基处理施工要点》已被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bidi="ar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基层建设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bidi="ar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 w:bidi="ar"/>
              </w:rPr>
              <w:t>期刊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bidi="ar"/>
              </w:rPr>
              <w:t>录用</w:t>
            </w:r>
          </w:p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六、个人小结（限300字以内）</w:t>
            </w:r>
          </w:p>
          <w:p>
            <w:pPr>
              <w:spacing w:line="192" w:lineRule="auto"/>
              <w:ind w:firstLine="420" w:firstLineChars="200"/>
              <w:rPr>
                <w:rFonts w:asciiTheme="majorEastAsia" w:hAnsiTheme="majorEastAsia" w:eastAsiaTheme="majorEastAsia" w:cstheme="majorEastAsia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本人李建华，毕业于河北工业大学，硕士研究生学历，本科专业为工程管理，研究生专业为技术经济及管理。2012年3月参加工作，主要负责集团所有项目的招标采购管理、经济评价管理、造价管理、合同管理及团建等工作。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在基层工作中，本人对水运工程建设有着深刻的理解和认识，始终抓住工程管理和技术创新相结合的工作方式，发挥科技是第一生产力的作用，保障港口工程的投资、质量、进度，为黄骅港综合大港二期工程建设保驾护航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工作之余，自己充分利用休息时间，奋发图强，加强专业知识的学习，顺利取得了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Cs w:val="21"/>
                <w:shd w:val="clear" w:color="auto" w:fill="FFFFFF"/>
              </w:rPr>
              <w:t>建筑工程专业国家一级建造师证书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shd w:val="clear" w:color="auto" w:fill="FFFFFF"/>
              </w:rPr>
              <w:t>、国家注册造价工程师证书。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由于工作业绩突出，受到单位及领导一致好评，先后被评为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2015-2016年度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优秀共产党员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8年度及2019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沧州市先进个人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等荣誉称号。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注：1、类别是指工程技术、农业、卫生、社科文化、教育等五个种类。2、表内专家称号包括第三层次人选。3、此表用A3纸打印，与电子版同时报送。</w:t>
      </w: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申报部门（单位）：                           （盖章）                      年    月     日</w:t>
      </w:r>
    </w:p>
    <w:sectPr>
      <w:footerReference r:id="rId3" w:type="default"/>
      <w:pgSz w:w="16838" w:h="11906" w:orient="landscape"/>
      <w:pgMar w:top="567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2A84"/>
    <w:rsid w:val="00034A22"/>
    <w:rsid w:val="00081D27"/>
    <w:rsid w:val="001E3113"/>
    <w:rsid w:val="00A456B1"/>
    <w:rsid w:val="00ED3425"/>
    <w:rsid w:val="01AA4E09"/>
    <w:rsid w:val="03E012DC"/>
    <w:rsid w:val="085B57D6"/>
    <w:rsid w:val="0A7D41B2"/>
    <w:rsid w:val="0F2C193A"/>
    <w:rsid w:val="0F3B5D63"/>
    <w:rsid w:val="0FE1754B"/>
    <w:rsid w:val="10DE2889"/>
    <w:rsid w:val="1E276A5A"/>
    <w:rsid w:val="21035AC4"/>
    <w:rsid w:val="21F517DC"/>
    <w:rsid w:val="247D7A3E"/>
    <w:rsid w:val="272973DA"/>
    <w:rsid w:val="296115B1"/>
    <w:rsid w:val="298526FC"/>
    <w:rsid w:val="298C018B"/>
    <w:rsid w:val="2ADA50F4"/>
    <w:rsid w:val="2C807624"/>
    <w:rsid w:val="2CB57E81"/>
    <w:rsid w:val="3AC32EE8"/>
    <w:rsid w:val="3B5471C4"/>
    <w:rsid w:val="3EF50689"/>
    <w:rsid w:val="482B2547"/>
    <w:rsid w:val="492867CA"/>
    <w:rsid w:val="4B8F28DC"/>
    <w:rsid w:val="4D741D1C"/>
    <w:rsid w:val="4EF52A82"/>
    <w:rsid w:val="4F052A84"/>
    <w:rsid w:val="51D559EA"/>
    <w:rsid w:val="5256793F"/>
    <w:rsid w:val="53305ED5"/>
    <w:rsid w:val="53A7561D"/>
    <w:rsid w:val="54331F59"/>
    <w:rsid w:val="55784EA8"/>
    <w:rsid w:val="56814C17"/>
    <w:rsid w:val="588C692B"/>
    <w:rsid w:val="59366CC5"/>
    <w:rsid w:val="5B33416A"/>
    <w:rsid w:val="5B4E7B5A"/>
    <w:rsid w:val="5F4D000B"/>
    <w:rsid w:val="5FAC5667"/>
    <w:rsid w:val="6350565E"/>
    <w:rsid w:val="642A4CA1"/>
    <w:rsid w:val="66D84E68"/>
    <w:rsid w:val="708B4F7A"/>
    <w:rsid w:val="738E5C3F"/>
    <w:rsid w:val="76142AF7"/>
    <w:rsid w:val="77FB4CD2"/>
    <w:rsid w:val="78B471E2"/>
    <w:rsid w:val="7BC07259"/>
    <w:rsid w:val="7CE16415"/>
    <w:rsid w:val="7D9D5250"/>
    <w:rsid w:val="7E8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1481</Characters>
  <Lines>12</Lines>
  <Paragraphs>3</Paragraphs>
  <TotalTime>6</TotalTime>
  <ScaleCrop>false</ScaleCrop>
  <LinksUpToDate>false</LinksUpToDate>
  <CharactersWithSpaces>1737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2020-04-15T03:42:00Z</dcterms:created>
  <dc:creator>一米阳光</dc:creator>
  <cp:lastModifiedBy>LJH</cp:lastModifiedBy>
  <cp:lastPrinted>2020-04-14T02:59:00Z</cp:lastPrinted>
  <dcterms:modified xsi:type="dcterms:W3CDTF">2020-04-16T01:28:30Z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